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Times New Roman" w:hAnsi="Times New Roman" w:eastAsia="仿宋_GB2312" w:cs="Times New Roman"/>
          <w:color w:val="000000"/>
          <w:kern w:val="0"/>
          <w:sz w:val="31"/>
          <w:szCs w:val="31"/>
          <w:lang w:val="en-US" w:eastAsia="zh-CN" w:bidi="ar"/>
        </w:rPr>
      </w:pPr>
      <w:r>
        <w:rPr>
          <w:rFonts w:hint="eastAsia" w:ascii="Times New Roman" w:hAnsi="Times New Roman" w:eastAsia="仿宋_GB2312" w:cs="Times New Roman"/>
          <w:color w:val="000000"/>
          <w:kern w:val="0"/>
          <w:sz w:val="31"/>
          <w:szCs w:val="31"/>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bookmarkStart w:id="0" w:name="_GoBack"/>
      <w:r>
        <w:rPr>
          <w:rFonts w:hint="default" w:ascii="方正小标宋简体" w:hAnsi="方正小标宋简体" w:eastAsia="方正小标宋简体" w:cs="方正小标宋简体"/>
          <w:color w:val="000000"/>
          <w:kern w:val="0"/>
          <w:sz w:val="44"/>
          <w:szCs w:val="44"/>
          <w:lang w:val="en-US" w:eastAsia="zh-CN" w:bidi="ar"/>
        </w:rPr>
        <w:t>新疆农业大学第十八届“挑战杯”大学生课外学术科技作品竞赛入围</w:t>
      </w:r>
      <w:r>
        <w:rPr>
          <w:rFonts w:hint="eastAsia" w:ascii="方正小标宋简体" w:hAnsi="方正小标宋简体" w:eastAsia="方正小标宋简体" w:cs="方正小标宋简体"/>
          <w:color w:val="000000"/>
          <w:kern w:val="0"/>
          <w:sz w:val="44"/>
          <w:szCs w:val="44"/>
          <w:lang w:val="en-US" w:eastAsia="zh-CN" w:bidi="ar"/>
        </w:rPr>
        <w:t>终审</w:t>
      </w:r>
      <w:r>
        <w:rPr>
          <w:rFonts w:hint="default" w:ascii="方正小标宋简体" w:hAnsi="方正小标宋简体" w:eastAsia="方正小标宋简体" w:cs="方正小标宋简体"/>
          <w:color w:val="000000"/>
          <w:kern w:val="0"/>
          <w:sz w:val="44"/>
          <w:szCs w:val="44"/>
          <w:lang w:val="en-US" w:eastAsia="zh-CN" w:bidi="ar"/>
        </w:rPr>
        <w:t>决赛作品</w:t>
      </w:r>
    </w:p>
    <w:bookmarkEnd w:id="0"/>
    <w:tbl>
      <w:tblPr>
        <w:tblStyle w:val="4"/>
        <w:tblW w:w="87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3919"/>
        <w:gridCol w:w="2736"/>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83"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作品名称</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作品类别</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西部干旱区资源型城市土地利用景观格局与生态系统服务价值研究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从民守到民创——乡村振兴视域下新疆国家级非遗美术项目文创开发侵权问题调查研究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干旱半干旱区生态系统服务供需时空分布特征与平衡格局研究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创新扩散视阈下科技创新驱动中国乡村振兴的作用机制与实证分析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后疫情时代高校心理育人方法与路径研究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9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基于“三生空间”视角的新疆塔里木河流域土地利用功能演变及生态环境质量时空分异研究</w:t>
            </w:r>
          </w:p>
        </w:tc>
        <w:tc>
          <w:tcPr>
            <w:tcW w:w="273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农地经营权稳定性对农户投入结构的影响研究-以新疆玛纳斯县为例</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变“闲”为宝，以“业”为基：基于全国农村宅基地制度改革新疆试点县市调研</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情系棉田，大爱无疆—数字棉花+收入保险助力乡村振兴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新疆伊犁蜂产业调研报告</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新疆科技创新现状、问题及对策建议</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让“一时好”变“长久好”：农村厕改中的主体困境与长效互动管护模式探究-基于新、蒙、宁脱贫县的调查</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心理惯性视角下农户参与耕地面源污染治理意愿研究-以施用有机肥为例</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从“灰色地带”到“分好蛋糕”—基于新疆新业态劳动者社会保险参保现状及影响因素研究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中国生态产品价值区域差异、动态演进及空间收敛性</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基于CVM居民公共生态产品支付决策行为调查——以江苏省、山东省、河南省为例</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中国农业农村碳中和效应时空分异与动态演进特征研究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昌吉州东部四县山旱地农户退耕影响机制及引导路径研究——兼论耕地地力保护补贴政策的调整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和田地区耕地时空演变的生产-生态效应研究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1980—2020年新疆土地利用变化下生态系统服务价值时空演变分析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基于多元有序Logistic与ISM模型的新疆食品消费意愿的影响因素研究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新疆物质类农业生态产品供给障碍因素调查——基于哈密、库尔勒、昌吉与伊犁四地州市数据</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目标价格改革政策对棉花全要素生产率的效果评价*—基于全国103个棉花主产县数据</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哲学社会科学类社会调查报告和学术论文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
                <w:lang w:val="en-US" w:eastAsia="zh-CN" w:bidi="ar"/>
              </w:rPr>
              <w:t>基于</w:t>
            </w:r>
            <w:r>
              <w:rPr>
                <w:rStyle w:val="8"/>
                <w:lang w:val="en-US" w:eastAsia="zh-CN" w:bidi="ar"/>
              </w:rPr>
              <w:t>Yolov5s的城市道路车辆检测</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番茄 Mi-3 介导抗病途径中SlbHLH 转录因子的功能分析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新疆动物源产CTX-M大肠杆菌的多重耐药性分析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西瓜浅黄色果肉形成过程中WRKY转录因子的功能分析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渠道滤水排沙发电结构模型实验探究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球孢白僵菌对梨小食心虫和苹果蠹蛾的致病力</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铜催化二氧化碳与吡啶硼酸羧化反应的研究  </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新疆引新葡萄“阳光玫瑰”抗旱性研究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新疆喀什噶尔河流域灌区地下水水质空间变化及其影响因素分析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养护条件对全固废胶凝材料力学性能的影响</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西天山野果林县域植物种质资源调查和保护研究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“杏”福的赛买提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MYB转录因子对西瓜浅黄色果肉形成调控作用初步分析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基于单片机的智能恒温储物柜设计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“鲜”人一步，“杏”福万家 -水杨酸处理结合冰温贮藏对吊干杏采后品质的影响</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自然科学类学术论文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一种砾类土毛细水试验装置的设计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科技发明制作B类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秸秆还饲，农副解忧</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科技发明制作A类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一种同时检测BCoV和BRV的试剂盒及其应用</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科技发明制作A类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智能自走式红花采摘机器人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科技发明制作A类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《驴奶香槟敬华夏、特种产业创辉煌》</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科技发明制作A类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渗透“魔”力</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科技发明制作A类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棉花4.4m超宽膜高产栽培技术推广与示范</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科技发明制作A类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马泰勒虫胶体金检测试剂盒的推广发售 </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科技发明制作A类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《便携式高效播种套装》</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科技发明制作B类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红花全生命周期识别与定位采收装备</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科技发明制作B类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“马速腾”致富乘</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科技发明制作B类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肉羊遗传评估系统</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科技发明制作B类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一种可控实验条件的碳同位素标记装置</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科技发明制作B类</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集体项目</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kern w:val="0"/>
          <w:sz w:val="44"/>
          <w:szCs w:val="44"/>
          <w:lang w:val="en-US" w:eastAsia="zh-CN" w:bidi="ar"/>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OWRhOGRmOWVhOTY1ZWQ4ODJlNjhjNmM4YTA2MWMifQ=="/>
  </w:docVars>
  <w:rsids>
    <w:rsidRoot w:val="15F0797A"/>
    <w:rsid w:val="15F0797A"/>
    <w:rsid w:val="1776002C"/>
    <w:rsid w:val="2F5E1544"/>
    <w:rsid w:val="5FD813C5"/>
    <w:rsid w:val="7BAB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font31"/>
    <w:basedOn w:val="5"/>
    <w:uiPriority w:val="0"/>
    <w:rPr>
      <w:rFonts w:hint="eastAsia" w:ascii="宋体" w:hAnsi="宋体" w:eastAsia="宋体" w:cs="宋体"/>
      <w:color w:val="000000"/>
      <w:sz w:val="20"/>
      <w:szCs w:val="20"/>
      <w:u w:val="none"/>
    </w:rPr>
  </w:style>
  <w:style w:type="character" w:customStyle="1" w:styleId="8">
    <w:name w:val="font1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2455</Words>
  <Characters>2570</Characters>
  <Lines>0</Lines>
  <Paragraphs>0</Paragraphs>
  <TotalTime>1</TotalTime>
  <ScaleCrop>false</ScaleCrop>
  <LinksUpToDate>false</LinksUpToDate>
  <CharactersWithSpaces>2577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2023-04-10T04:31:00Z</dcterms:created>
  <dc:creator>gulgina‮_</dc:creator>
  <cp:lastModifiedBy>Lenovo</cp:lastModifiedBy>
  <cp:lastPrinted>2023-04-10T10:25:00Z</cp:lastPrinted>
  <dcterms:modified xsi:type="dcterms:W3CDTF">2023-04-10T11:23:56Z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EF71961BD5C545648C9318E17E16C5AD_13</vt:lpwstr>
  </property>
</Properties>
</file>